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23</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fishes (e.g., juvenile Chinook Salmon) versus other food items (e.g., invertebrates). Therefore, we varied the proportion of the diet consisting of fish versus invertebrates to range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DSR and NRR emigrants potentially consumed by all Northern Pikeminnow in Deadwater Slough, we then multiplied the grams of fish consumed by an individual Northern Pikeminnow during each period (fall and spring) by the estimated population size for that period. The total biomass was further converted to an estimate of the total number of Chinook Salmon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depending on the proportion of diet consisting of fish versus invertebrates (Figure</w:t>
      </w:r>
      <w:r>
        <w:t xml:space="preserve"> </w:t>
      </w:r>
      <w:r>
        <w:t xml:space="preserve">5</w:t>
      </w:r>
      <w:r>
        <w:t xml:space="preserve">). Similarly, we estimated the average-size (393.7 mm) Northern Pikeminnow to consume 44.29 g (range 22.39 - 50.73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population size of 28,144 from fall estimates and an estimate of 14,897 for spring 2021, and assuming the median value from diet scenarios (i.e, 50% of their diet consists of fish), we’d estimate that 123,588 (95% CI: 62,409 - 138,616) DSR and 60,531 (95% CI: 30,600 - 67,980) NRR juveniles may be consumed in Deadwater Slough during peak emigrations. Table</w:t>
      </w:r>
      <w:r>
        <w:t xml:space="preserve"> </w:t>
      </w:r>
      <w:r>
        <w:t xml:space="preserve">5</w:t>
      </w:r>
      <w:r>
        <w:t xml:space="preserve"> </w:t>
      </w:r>
      <w:r>
        <w:t xml:space="preserve">shows the estimated number of juvenile Chinook Salmon consumed by and individual Northern Pikeminnow and by the Deadwater Slough population across all diet scenarios and for both the fall (DSR) and spring (NRR) peak emigration seasons.</w:t>
      </w:r>
    </w:p>
    <w:p>
      <w:pPr>
        <w:pStyle w:val="BodyText"/>
      </w:pPr>
      <w:r>
        <w:t xml:space="preserve">Across both seasons and all diet scenarios, we estimated the total juvenile outmigrants consumed to be between 93,009 and 206,596. The estimated number of Chinook Salmon consumed by a Northern Pikeminnow begins to taper off betwen the 30-90% diet scenarios. So although we are uncertain of the diet proportions, the impact of that uncertainty is somewhat constrained.</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This translates to adult Chinook equivalents between 571 and 1,269 (Figure</w:t>
      </w:r>
      <w:r>
        <w:t xml:space="preserve"> </w:t>
      </w:r>
      <w:r>
        <w:t xml:space="preserve">6</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2"/>
    <w:bookmarkStart w:id="6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DSR (fall) and NRR (spring) emigrants consumed for each season and diet scenario. The diet scenario indicates the proportion of the Northern Pikeminnow diet consisting of fish. The</w:t>
      </w:r>
      <w:r>
        <w:t xml:space="preserve"> </w:t>
      </w:r>
      <w:r>
        <w:t xml:space="preserve">‘</w:t>
      </w:r>
      <w:r>
        <w:t xml:space="preserve">Juv Chinook</w:t>
      </w:r>
      <w:r>
        <w:t xml:space="preserve">’</w:t>
      </w:r>
      <w:r>
        <w:t xml:space="preserve"> </w:t>
      </w:r>
      <w:r>
        <w:t xml:space="preserve">column indicates the number of juvenile Chinook consumed by an individual Northern Pikeminnow during the fall or spring seasons and is taken from each of the 18 bioenergetics model runs. The number of smolts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from McCann et al. 2019.</w:t>
      </w:r>
    </w:p>
    <w:tbl>
      <w:tblPr>
        <w:tblStyle w:val="Table"/>
        <w:tblW w:type="auto" w:w="0"/>
        <w:tblLook w:firstRow="1" w:lastRow="0" w:firstColumn="0" w:lastColumn="0" w:noHBand="0" w:noVBand="0" w:val="0020"/>
        <w:tblCaption w:val="Table 5: Estimates of the number of DSR (fall) and NRR (spring) emigrants consumed for each season and diet scenario. The diet scenario indicates the proportion of the Northern Pikeminnow diet consisting of fish. The ‘Juv Chinook’ column indicates the number of juvenile Chinook consumed by an individual Northern Pikeminnow during the fall or spring seasons and is taken from each of the 18 bioenergetics model runs. The number of smolts consumed (and 95% confidence intervals) are calculated using Northern Pikeminnow abundance estimates of 28,144 (95% CI: 14,378 - 59,978) for fall and 14,897 (95% CI: 7,610 - 31,747) for spring. The number of ‘adult equivalents’ is also estimated using a Lower Granite Dam smolt-to-adult rate (SAR)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Effort</w:t>
            </w:r>
          </w:p>
        </w:tc>
        <w:tc>
          <w:tcPr/>
          <w:p>
            <w:pPr>
              <w:pStyle w:val="Compact"/>
              <w:jc w:val="right"/>
            </w:pPr>
            <w:r>
              <w:t xml:space="preserve">p Fish</w:t>
            </w:r>
          </w:p>
        </w:tc>
        <w:tc>
          <w:tcPr/>
          <w:p>
            <w:pPr>
              <w:pStyle w:val="Compact"/>
              <w:jc w:val="right"/>
            </w:pPr>
            <w:r>
              <w:t xml:space="preserve">Juv Chinook</w:t>
            </w:r>
          </w:p>
        </w:tc>
        <w:tc>
          <w:tcPr/>
          <w:p>
            <w:pPr>
              <w:pStyle w:val="Compact"/>
              <w:jc w:val="right"/>
            </w:pPr>
            <w:r>
              <w:t xml:space="preserve">Juv N</w:t>
            </w:r>
          </w:p>
        </w:tc>
        <w:tc>
          <w:tcPr/>
          <w:p>
            <w:pPr>
              <w:pStyle w:val="Compact"/>
              <w:jc w:val="right"/>
            </w:pPr>
            <w:r>
              <w:t xml:space="preserve">Juv L CI</w:t>
            </w:r>
          </w:p>
        </w:tc>
        <w:tc>
          <w:tcPr/>
          <w:p>
            <w:pPr>
              <w:pStyle w:val="Compact"/>
              <w:jc w:val="right"/>
            </w:pPr>
            <w:r>
              <w:t xml:space="preserve">Juv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90" w:name="figures"/>
    <w:p>
      <w:pPr>
        <w:pStyle w:val="Heading1"/>
      </w:pPr>
      <w:r>
        <w:t xml:space="preserve">Figures</w:t>
      </w:r>
    </w:p>
    <w:bookmarkStart w:id="82" w:name="figures"/>
    <w:bookmarkEnd w:id="82"/>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89" w:name="colophon"/>
    <w:p>
      <w:pPr>
        <w:pStyle w:val="Heading3"/>
      </w:pPr>
      <w:r>
        <w:t xml:space="preserve">Colophon</w:t>
      </w:r>
    </w:p>
    <w:p>
      <w:pPr>
        <w:pStyle w:val="FirstParagraph"/>
      </w:pPr>
      <w:r>
        <w:t xml:space="preserve">This report was generated on 2021-12-23 12:29:54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[2491d85] 2021-12-23: cleaned up tables and fig 1</w:t>
      </w:r>
    </w:p>
    <w:bookmarkEnd w:id="89"/>
    <w:bookmarkEnd w:id="9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2021-12-23T19:29:57Z</dcterms:created>
  <dcterms:modified xsi:type="dcterms:W3CDTF">2021-12-23T19:29:57Z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